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spacing w:after="0" w:before="0" w:line="240" w:lineRule="auto"/>
        <w:ind w:firstLine="709"/>
        <w:jc w:val="both"/>
        <w:rPr>
          <w:rFonts w:ascii="Times New Roman" w:hAnsi="Times New Roman"/>
          <w:b w:val="1"/>
          <w:color w:val="000000"/>
          <w:sz w:val="28"/>
        </w:rPr>
      </w:pPr>
      <w:r>
        <w:rPr>
          <w:rFonts w:ascii="Times New Roman" w:hAnsi="Times New Roman"/>
          <w:b w:val="1"/>
          <w:color w:val="000000"/>
          <w:sz w:val="28"/>
        </w:rPr>
        <w:t>Изменения законодательства о противодействии коррупции в части предоставления сведений о доходах, расходах, имуществе и обязательствах имущественного характера.</w:t>
      </w:r>
    </w:p>
    <w:p w14:paraId="02000000">
      <w:pPr>
        <w:widowControl w:val="1"/>
        <w:spacing w:after="0" w:before="0" w:line="240" w:lineRule="auto"/>
        <w:ind w:firstLine="709"/>
        <w:jc w:val="both"/>
        <w:rPr>
          <w:rFonts w:ascii="Times New Roman" w:hAnsi="Times New Roman"/>
          <w:color w:val="000000"/>
          <w:sz w:val="28"/>
        </w:rPr>
      </w:pPr>
    </w:p>
    <w:p w14:paraId="03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 xml:space="preserve">С 01.01.2026 в Федеральные законы от 25.12.2008 № 273-ФЗ «О противодействии коррупции», от 03.12.2012 № 230-ФЗ «О контроле за соответствием расходов лиц, замещающих государственные должности, и иных лиц их </w:t>
      </w:r>
      <w:r>
        <w:rPr>
          <w:rFonts w:ascii="Times New Roman" w:hAnsi="Times New Roman"/>
          <w:color w:val="000000"/>
          <w:sz w:val="28"/>
        </w:rPr>
        <w:t>доходам»  внесены</w:t>
      </w:r>
      <w:r>
        <w:rPr>
          <w:rFonts w:ascii="Times New Roman" w:hAnsi="Times New Roman"/>
          <w:color w:val="000000"/>
          <w:sz w:val="28"/>
        </w:rPr>
        <w:t xml:space="preserve"> изменения, касающиеся порядка представления сведений о доходах, расходах, имуществе и обязательствах имущественного характера. </w:t>
      </w:r>
    </w:p>
    <w:p w14:paraId="04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 xml:space="preserve">Так, с учетом изменений федерального законодательства в 2026 году обязанность представить сведения о своих доходах, имуществе и обязательствах имущественного характера, а также о доходах, имуществе и обязательствах имущественного характера своих супруги и несовершеннолетних детей за отчетный 2025 год возлагается на лиц, замещающих должности, установленные законодательством о противодействии коррупции, при наличии следующих оснований: если в отчетном периоде (в течение 2025 года) должностным лицом, его супругой или несовершеннолетними детьми совершена сделка по приобретению земельного участка, другого объекта недвижимости, транспортного средства, ценных бумаг, цифровых финансовых активов, цифровой валюты и сумма такой сделки или общая сумма совершенных сделок превышает общий доход данного лица, его супруги и несовершеннолетних детей за 3 последних года, предшествующих отчетному периоду (т.е. за 2022, 2023, 2024 </w:t>
      </w:r>
      <w:r>
        <w:rPr>
          <w:rFonts w:ascii="Times New Roman" w:hAnsi="Times New Roman"/>
          <w:color w:val="000000"/>
          <w:sz w:val="28"/>
        </w:rPr>
        <w:t>г.г</w:t>
      </w:r>
      <w:r>
        <w:rPr>
          <w:rFonts w:ascii="Times New Roman" w:hAnsi="Times New Roman"/>
          <w:color w:val="000000"/>
          <w:sz w:val="28"/>
        </w:rPr>
        <w:t>.).</w:t>
      </w:r>
    </w:p>
    <w:p w14:paraId="05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Данные сведения необходимо будет представить не позднее 30 апреля 2026 года.</w:t>
      </w:r>
    </w:p>
    <w:p w14:paraId="06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На подразделения по профилактике коррупционных и иных правонарушений или соответствующих должностных лиц возложена обязанность осуществлять анализ сведений о доходах, об имуществе и обязательствах имущественного характера, представляемых в соответствии с Федеральным законом о противодействии коррупции.</w:t>
      </w:r>
    </w:p>
    <w:p w14:paraId="07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Кроме того, с 01.01.2026 контроль за расходами осуществляется также в отношении лиц, замещающих должности руководителей государственных (муниципальных) учреждений</w:t>
      </w:r>
    </w:p>
    <w:p w14:paraId="08000000">
      <w:pPr>
        <w:widowControl w:val="1"/>
        <w:spacing w:after="0" w:before="0" w:line="240" w:lineRule="auto"/>
        <w:ind w:firstLine="709"/>
        <w:jc w:val="both"/>
        <w:rPr>
          <w:rFonts w:ascii="Times New Roman" w:hAnsi="Times New Roman"/>
          <w:color w:val="000000"/>
          <w:sz w:val="28"/>
        </w:rPr>
      </w:pPr>
    </w:p>
    <w:p w14:paraId="09000000">
      <w:pPr>
        <w:widowControl w:val="1"/>
        <w:spacing w:after="0" w:before="0" w:line="240" w:lineRule="auto"/>
        <w:ind w:firstLine="709"/>
        <w:jc w:val="both"/>
        <w:rPr>
          <w:rFonts w:ascii="Times New Roman" w:hAnsi="Times New Roman"/>
          <w:b w:val="1"/>
          <w:color w:val="000000"/>
          <w:sz w:val="28"/>
        </w:rPr>
      </w:pPr>
    </w:p>
    <w:p w14:paraId="0A000000">
      <w:pPr>
        <w:widowControl w:val="1"/>
        <w:spacing w:after="0" w:before="0" w:line="240" w:lineRule="auto"/>
        <w:ind w:firstLine="0"/>
        <w:jc w:val="both"/>
        <w:rPr>
          <w:rFonts w:ascii="Times New Roman" w:hAnsi="Times New Roman"/>
          <w:color w:val="000000"/>
          <w:sz w:val="28"/>
        </w:rPr>
      </w:pPr>
      <w:r>
        <w:rPr>
          <w:rFonts w:ascii="Times New Roman" w:hAnsi="Times New Roman"/>
          <w:color w:val="000000"/>
          <w:sz w:val="28"/>
        </w:rPr>
        <w:t>Прокурор Мартыновского района</w:t>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 xml:space="preserve">                   А.В. Маслаков</w:t>
      </w:r>
    </w:p>
    <w:p w14:paraId="0B000000">
      <w:pPr>
        <w:widowControl w:val="1"/>
        <w:spacing w:after="0" w:before="0" w:line="240" w:lineRule="auto"/>
        <w:ind w:firstLine="0"/>
        <w:jc w:val="both"/>
        <w:rPr>
          <w:rFonts w:ascii="Times New Roman" w:hAnsi="Times New Roman"/>
          <w:color w:val="000000"/>
          <w:sz w:val="28"/>
        </w:rPr>
      </w:pPr>
    </w:p>
    <w:p w14:paraId="0C000000">
      <w:pPr>
        <w:widowControl w:val="1"/>
        <w:spacing w:after="0" w:before="0" w:line="240" w:lineRule="auto"/>
        <w:ind w:firstLine="0"/>
        <w:jc w:val="both"/>
        <w:rPr>
          <w:rFonts w:ascii="Times New Roman" w:hAnsi="Times New Roman"/>
          <w:color w:val="000000"/>
          <w:sz w:val="28"/>
        </w:rPr>
      </w:pPr>
    </w:p>
    <w:p w14:paraId="0D000000">
      <w:pPr>
        <w:widowControl w:val="1"/>
        <w:spacing w:after="0" w:before="0" w:line="240" w:lineRule="auto"/>
        <w:ind w:firstLine="0"/>
        <w:jc w:val="both"/>
        <w:rPr>
          <w:rFonts w:ascii="Times New Roman" w:hAnsi="Times New Roman"/>
          <w:color w:val="000000"/>
          <w:sz w:val="28"/>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line="240" w:lineRule="auto"/>
      <w:ind/>
      <w:jc w:val="both"/>
    </w:pPr>
    <w:rPr>
      <w:rFonts w:ascii="XO Thames" w:hAnsi="XO Thames"/>
      <w:sz w:val="28"/>
    </w:rPr>
  </w:style>
  <w:style w:default="1" w:styleId="Style_2_ch" w:type="character">
    <w:name w:val="Normal"/>
    <w:link w:val="Style_2"/>
    <w:rPr>
      <w:rFonts w:ascii="XO Thames" w:hAnsi="XO Thames"/>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2"/>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2"/>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2"/>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2"/>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2"/>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2"/>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1" w:type="paragraph">
    <w:name w:val="heading 2"/>
    <w:next w:val="Style_2"/>
    <w:link w:val="Style_1_ch"/>
    <w:uiPriority w:val="9"/>
    <w:qFormat/>
    <w:pPr>
      <w:spacing w:after="120" w:before="120"/>
      <w:ind/>
      <w:jc w:val="both"/>
      <w:outlineLvl w:val="1"/>
    </w:pPr>
    <w:rPr>
      <w:rFonts w:ascii="XO Thames" w:hAnsi="XO Thames"/>
      <w:b w:val="1"/>
      <w:sz w:val="28"/>
    </w:rPr>
  </w:style>
  <w:style w:styleId="Style_1_ch" w:type="character">
    <w:name w:val="heading 2"/>
    <w:link w:val="Style_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2026-06-09T06:43:00Z</dcterms:created>
  <dcterms:modified xsi:type="dcterms:W3CDTF">2026-06-09T06:43:00Z</dcterms:modified>
</cp:coreProperties>
</file>